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2EC5" w14:textId="4E29F8AA" w:rsidR="006371B6" w:rsidRPr="00232BC2" w:rsidRDefault="00232BC2" w:rsidP="00232BC2">
      <w:pPr>
        <w:jc w:val="center"/>
        <w:rPr>
          <w:b/>
          <w:bCs/>
        </w:rPr>
      </w:pPr>
      <w:r w:rsidRPr="00232BC2">
        <w:rPr>
          <w:b/>
          <w:bCs/>
        </w:rPr>
        <w:t>Agreement of Cultural Heritage Monitoring Procedures</w:t>
      </w:r>
    </w:p>
    <w:p w14:paraId="3D08C7E9" w14:textId="77DC3E74" w:rsidR="00232BC2" w:rsidRDefault="00232BC2" w:rsidP="00232BC2">
      <w:pPr>
        <w:jc w:val="center"/>
      </w:pPr>
      <w:r>
        <w:t>between</w:t>
      </w:r>
    </w:p>
    <w:p w14:paraId="68F7A858" w14:textId="31FAF35E" w:rsidR="00232BC2" w:rsidRDefault="00232BC2" w:rsidP="00232BC2">
      <w:pPr>
        <w:jc w:val="center"/>
      </w:pPr>
      <w:r>
        <w:t>Esperance Tjaltjraak Native Title Aboriginal Corporation</w:t>
      </w:r>
      <w:r w:rsidR="00231238">
        <w:t xml:space="preserve"> (ETNTAC)</w:t>
      </w:r>
    </w:p>
    <w:p w14:paraId="5730E59D" w14:textId="6391607C" w:rsidR="00232BC2" w:rsidRDefault="00232BC2" w:rsidP="00232BC2">
      <w:pPr>
        <w:jc w:val="center"/>
      </w:pPr>
      <w:r>
        <w:t xml:space="preserve">and </w:t>
      </w:r>
    </w:p>
    <w:p w14:paraId="6F64E7F2" w14:textId="63A433ED" w:rsidR="001E470D" w:rsidRDefault="001E470D" w:rsidP="001E470D">
      <w:pPr>
        <w:jc w:val="center"/>
      </w:pPr>
      <w:sdt>
        <w:sdtPr>
          <w:alias w:val="Proponent Name"/>
          <w:tag w:val="Proponent Name"/>
          <w:id w:val="1619804374"/>
          <w:lock w:val="sdtLocked"/>
          <w:placeholder>
            <w:docPart w:val="7A61C80BBF23481AB40B250EA302410C"/>
          </w:placeholder>
          <w:showingPlcHdr/>
          <w:text w:multiLine="1"/>
        </w:sdtPr>
        <w:sdtContent>
          <w:r w:rsidRPr="00FF53D5">
            <w:rPr>
              <w:rStyle w:val="PlaceholderText"/>
            </w:rPr>
            <w:t>Click or tap here to enter text.</w:t>
          </w:r>
        </w:sdtContent>
      </w:sdt>
      <w:r w:rsidR="007027D7">
        <w:t xml:space="preserve"> (hereafter “the Proponent”</w:t>
      </w:r>
      <w:r w:rsidR="00546DC8">
        <w:t>)</w:t>
      </w:r>
    </w:p>
    <w:p w14:paraId="348B3048" w14:textId="4FF9C431" w:rsidR="00232BC2" w:rsidRDefault="001E470D" w:rsidP="00232BC2">
      <w:pPr>
        <w:jc w:val="center"/>
      </w:pPr>
      <w:r>
        <w:fldChar w:fldCharType="begin"/>
      </w:r>
      <w:r>
        <w:instrText xml:space="preserve"> DATE  \@ "d MMMM yyyy"  \* MERGEFORMAT </w:instrText>
      </w:r>
      <w:r>
        <w:fldChar w:fldCharType="separate"/>
      </w:r>
      <w:r>
        <w:rPr>
          <w:noProof/>
        </w:rPr>
        <w:t>30 January 2024</w:t>
      </w:r>
      <w:r>
        <w:fldChar w:fldCharType="end"/>
      </w:r>
    </w:p>
    <w:p w14:paraId="609DF312" w14:textId="15402970" w:rsidR="001E470D" w:rsidRDefault="001E470D" w:rsidP="00232BC2">
      <w:pPr>
        <w:jc w:val="center"/>
      </w:pPr>
    </w:p>
    <w:p w14:paraId="0CAEFDFA" w14:textId="02DDB3F0" w:rsidR="00232BC2" w:rsidRPr="0028340B" w:rsidRDefault="00232BC2" w:rsidP="0028340B">
      <w:pPr>
        <w:spacing w:after="0"/>
        <w:rPr>
          <w:b/>
          <w:bCs/>
        </w:rPr>
      </w:pPr>
      <w:r w:rsidRPr="0028340B">
        <w:rPr>
          <w:b/>
          <w:bCs/>
        </w:rPr>
        <w:t>Purpose</w:t>
      </w:r>
    </w:p>
    <w:p w14:paraId="3122E318" w14:textId="426C4E76" w:rsidR="00232BC2" w:rsidRDefault="00232BC2" w:rsidP="00232BC2">
      <w:r>
        <w:t xml:space="preserve">The purpose of this document is </w:t>
      </w:r>
      <w:r w:rsidR="004A19D9">
        <w:t xml:space="preserve">to </w:t>
      </w:r>
      <w:r>
        <w:t xml:space="preserve">outline the procedures and protocols </w:t>
      </w:r>
      <w:r w:rsidR="007027D7">
        <w:t xml:space="preserve">associated with monitoring </w:t>
      </w:r>
      <w:r w:rsidR="00546DC8">
        <w:t xml:space="preserve">Aboriginal Cultural Hertiage. </w:t>
      </w:r>
      <w:r w:rsidR="00231238">
        <w:t xml:space="preserve">This document should be used to guide the conduct of both parties and their contractors, during </w:t>
      </w:r>
      <w:r w:rsidR="0028340B">
        <w:t xml:space="preserve">all of </w:t>
      </w:r>
      <w:r w:rsidR="00546DC8">
        <w:t>the Proponents activities</w:t>
      </w:r>
      <w:r w:rsidR="004A19D9">
        <w:t xml:space="preserve"> </w:t>
      </w:r>
      <w:r w:rsidR="0028340B">
        <w:t>within</w:t>
      </w:r>
      <w:r w:rsidR="004A19D9">
        <w:t xml:space="preserve"> ETNTAC’s jurisdiction</w:t>
      </w:r>
      <w:r w:rsidR="000B5B54">
        <w:t xml:space="preserve"> where </w:t>
      </w:r>
      <w:r w:rsidR="002A1C8D">
        <w:t>C</w:t>
      </w:r>
      <w:r w:rsidR="000B5B54">
        <w:t xml:space="preserve">ultural </w:t>
      </w:r>
      <w:r w:rsidR="002A1C8D">
        <w:t>Heritage M</w:t>
      </w:r>
      <w:r w:rsidR="000B5B54">
        <w:t>onitors</w:t>
      </w:r>
      <w:r w:rsidR="002A1C8D">
        <w:t xml:space="preserve"> (Monitors)</w:t>
      </w:r>
      <w:r w:rsidR="000B5B54">
        <w:t xml:space="preserve"> are required to be engaged</w:t>
      </w:r>
      <w:r w:rsidR="004A19D9">
        <w:t>.</w:t>
      </w:r>
    </w:p>
    <w:p w14:paraId="2F7B3DBC" w14:textId="77777777" w:rsidR="004A19D9" w:rsidRDefault="004A19D9" w:rsidP="00232BC2"/>
    <w:p w14:paraId="3F9A85C9" w14:textId="44A68D25" w:rsidR="004A19D9" w:rsidRDefault="004A19D9" w:rsidP="0028340B">
      <w:pPr>
        <w:spacing w:after="0"/>
        <w:rPr>
          <w:b/>
          <w:bCs/>
        </w:rPr>
      </w:pPr>
      <w:r>
        <w:rPr>
          <w:b/>
          <w:bCs/>
        </w:rPr>
        <w:t>When is Monitoring Required?</w:t>
      </w:r>
    </w:p>
    <w:p w14:paraId="392C7E27" w14:textId="522677D5" w:rsidR="004A19D9" w:rsidRDefault="00546DC8" w:rsidP="00232BC2">
      <w:r>
        <w:t>ETNTAC will direct the proponent on when monitoring is required.</w:t>
      </w:r>
    </w:p>
    <w:p w14:paraId="11BF9AE7" w14:textId="77777777" w:rsidR="00162815" w:rsidRDefault="00162815" w:rsidP="0028340B">
      <w:pPr>
        <w:spacing w:after="0"/>
      </w:pPr>
    </w:p>
    <w:p w14:paraId="736CF699" w14:textId="5B84D3D6" w:rsidR="004A19D9" w:rsidRDefault="004A19D9" w:rsidP="0028340B">
      <w:pPr>
        <w:spacing w:after="0"/>
        <w:rPr>
          <w:b/>
          <w:bCs/>
        </w:rPr>
      </w:pPr>
      <w:r>
        <w:rPr>
          <w:b/>
          <w:bCs/>
        </w:rPr>
        <w:t>Rights and Responsibilities</w:t>
      </w:r>
    </w:p>
    <w:p w14:paraId="387F6595" w14:textId="0B6F5D83" w:rsidR="004A19D9" w:rsidRDefault="004A19D9" w:rsidP="00232BC2">
      <w:r w:rsidRPr="004A19D9">
        <w:t>The parties agree:</w:t>
      </w:r>
    </w:p>
    <w:p w14:paraId="31A5C931" w14:textId="36CCD69C" w:rsidR="00377B00" w:rsidRDefault="000B5846" w:rsidP="004A19D9">
      <w:pPr>
        <w:pStyle w:val="ListParagraph"/>
        <w:numPr>
          <w:ilvl w:val="0"/>
          <w:numId w:val="1"/>
        </w:numPr>
      </w:pPr>
      <w:r>
        <w:t>T</w:t>
      </w:r>
      <w:r w:rsidR="00377B00" w:rsidRPr="00377B00">
        <w:t xml:space="preserve">he preservation of Aboriginal Sites, </w:t>
      </w:r>
      <w:r>
        <w:t xml:space="preserve">Aboriginal Objects </w:t>
      </w:r>
      <w:r w:rsidR="00377B00" w:rsidRPr="00377B00">
        <w:t xml:space="preserve">and areas of </w:t>
      </w:r>
      <w:r w:rsidR="001404CD">
        <w:t xml:space="preserve">significance to ETNTAC </w:t>
      </w:r>
      <w:r w:rsidR="00D443F5">
        <w:t>(</w:t>
      </w:r>
      <w:bookmarkStart w:id="0" w:name="_Hlk144336322"/>
      <w:r w:rsidR="00D443F5">
        <w:t>Aboriginal Cultural Heritage</w:t>
      </w:r>
      <w:bookmarkEnd w:id="0"/>
      <w:r w:rsidR="00D443F5">
        <w:t xml:space="preserve">) </w:t>
      </w:r>
      <w:r w:rsidR="00377B00" w:rsidRPr="00377B00">
        <w:t xml:space="preserve">is preferable to their excavation, destruction, damage, concealment or alteration and </w:t>
      </w:r>
      <w:r w:rsidR="007027D7">
        <w:t>the Proponent</w:t>
      </w:r>
      <w:r w:rsidR="007027D7" w:rsidRPr="00377B00">
        <w:t xml:space="preserve"> </w:t>
      </w:r>
      <w:r w:rsidR="00377B00" w:rsidRPr="00377B00">
        <w:t xml:space="preserve">shall accordingly always use best endeavours to preserve </w:t>
      </w:r>
      <w:r w:rsidR="00D443F5">
        <w:t>Aboriginal Cultural Heritage</w:t>
      </w:r>
      <w:r w:rsidR="00377B00" w:rsidRPr="00377B00">
        <w:t>.</w:t>
      </w:r>
    </w:p>
    <w:p w14:paraId="39C31375" w14:textId="1701F457" w:rsidR="00FF0E65" w:rsidRDefault="007027D7" w:rsidP="004A19D9">
      <w:pPr>
        <w:pStyle w:val="ListParagraph"/>
        <w:numPr>
          <w:ilvl w:val="0"/>
          <w:numId w:val="1"/>
        </w:numPr>
      </w:pPr>
      <w:r>
        <w:t>the Proponent</w:t>
      </w:r>
      <w:r>
        <w:t xml:space="preserve"> </w:t>
      </w:r>
      <w:r w:rsidR="00E40434">
        <w:t xml:space="preserve">must not undertake </w:t>
      </w:r>
      <w:r w:rsidR="003B12FF">
        <w:t>ground disturbing works or vegetation clearance</w:t>
      </w:r>
      <w:r w:rsidR="00E40434">
        <w:t xml:space="preserve"> </w:t>
      </w:r>
      <w:r w:rsidR="000C6AF5">
        <w:t xml:space="preserve">(Works) </w:t>
      </w:r>
      <w:r w:rsidR="00E40434">
        <w:t xml:space="preserve">within </w:t>
      </w:r>
      <w:r w:rsidR="000052F0">
        <w:t xml:space="preserve">the ETNTAC Area </w:t>
      </w:r>
      <w:r w:rsidR="006050B3">
        <w:t>unless</w:t>
      </w:r>
      <w:r w:rsidR="002A1C8D">
        <w:t xml:space="preserve"> an</w:t>
      </w:r>
      <w:r w:rsidR="006050B3">
        <w:t xml:space="preserve"> ETNTAC Monitor</w:t>
      </w:r>
      <w:r w:rsidR="002A1C8D">
        <w:t xml:space="preserve"> is</w:t>
      </w:r>
      <w:r w:rsidR="006050B3">
        <w:t xml:space="preserve"> on site during the </w:t>
      </w:r>
      <w:r w:rsidR="000C6AF5">
        <w:t>W</w:t>
      </w:r>
      <w:r w:rsidR="003B12FF">
        <w:t>orks</w:t>
      </w:r>
      <w:r w:rsidR="00FF0E65">
        <w:t xml:space="preserve"> or ETNTAC, in writing, confirms </w:t>
      </w:r>
      <w:r w:rsidR="00873691">
        <w:t xml:space="preserve">Monitors </w:t>
      </w:r>
      <w:r w:rsidR="00FF0E65">
        <w:t>are not required</w:t>
      </w:r>
      <w:r w:rsidR="000C6AF5">
        <w:t xml:space="preserve"> for the Works</w:t>
      </w:r>
      <w:r w:rsidR="00FF0E65">
        <w:t xml:space="preserve">. </w:t>
      </w:r>
    </w:p>
    <w:p w14:paraId="2CA8FEB7" w14:textId="2D59B80D" w:rsidR="00FF0E65" w:rsidRDefault="007027D7" w:rsidP="004A19D9">
      <w:pPr>
        <w:pStyle w:val="ListParagraph"/>
        <w:numPr>
          <w:ilvl w:val="0"/>
          <w:numId w:val="1"/>
        </w:numPr>
      </w:pPr>
      <w:r>
        <w:t>T</w:t>
      </w:r>
      <w:r>
        <w:t>he Proponent</w:t>
      </w:r>
      <w:r>
        <w:t xml:space="preserve"> </w:t>
      </w:r>
      <w:r w:rsidR="00BA07AE">
        <w:t>m</w:t>
      </w:r>
      <w:r w:rsidR="00AD5821">
        <w:t>us</w:t>
      </w:r>
      <w:r w:rsidR="00BA07AE">
        <w:t>t provide</w:t>
      </w:r>
      <w:r w:rsidR="000C6AF5">
        <w:t>, in writing,</w:t>
      </w:r>
      <w:r w:rsidR="00BA07AE">
        <w:t xml:space="preserve"> at least 7 </w:t>
      </w:r>
      <w:r w:rsidR="000E3825">
        <w:t>days’ notice</w:t>
      </w:r>
      <w:r w:rsidR="00BA07AE">
        <w:t xml:space="preserve"> to ETNTAC</w:t>
      </w:r>
      <w:r w:rsidR="000C6AF5">
        <w:t xml:space="preserve"> </w:t>
      </w:r>
      <w:r w:rsidR="00DA7706">
        <w:t>that</w:t>
      </w:r>
      <w:r w:rsidR="00BA07AE">
        <w:t xml:space="preserve"> </w:t>
      </w:r>
      <w:r w:rsidR="007F3B6D">
        <w:t>Works</w:t>
      </w:r>
      <w:r w:rsidR="00DA7706">
        <w:t xml:space="preserve"> are to be undertaken</w:t>
      </w:r>
      <w:r w:rsidR="00D1008B">
        <w:t xml:space="preserve"> and the notice must include sufficient information of the Works including location, known </w:t>
      </w:r>
      <w:r w:rsidR="002803BC">
        <w:t>Aboriginal Cultural Heritage</w:t>
      </w:r>
      <w:r w:rsidR="00390F14">
        <w:t xml:space="preserve">, proposed duration of Works. </w:t>
      </w:r>
    </w:p>
    <w:p w14:paraId="5C5B396F" w14:textId="550C7965" w:rsidR="00DB6323" w:rsidRDefault="00DB6323" w:rsidP="004A19D9">
      <w:pPr>
        <w:pStyle w:val="ListParagraph"/>
        <w:numPr>
          <w:ilvl w:val="0"/>
          <w:numId w:val="1"/>
        </w:numPr>
      </w:pPr>
      <w:r>
        <w:t xml:space="preserve">ETNTAC </w:t>
      </w:r>
      <w:r w:rsidR="00F82545">
        <w:t xml:space="preserve">may </w:t>
      </w:r>
      <w:r w:rsidR="00BF344D">
        <w:t xml:space="preserve">appoint two (2) </w:t>
      </w:r>
      <w:r w:rsidR="00873691">
        <w:t xml:space="preserve">Monitors </w:t>
      </w:r>
      <w:r w:rsidR="005B74D3">
        <w:t xml:space="preserve">to be on site during the Works. </w:t>
      </w:r>
    </w:p>
    <w:p w14:paraId="2013856E" w14:textId="371B785F" w:rsidR="00B74A5A" w:rsidRDefault="007027D7" w:rsidP="004A19D9">
      <w:pPr>
        <w:pStyle w:val="ListParagraph"/>
        <w:numPr>
          <w:ilvl w:val="0"/>
          <w:numId w:val="1"/>
        </w:numPr>
      </w:pPr>
      <w:r>
        <w:t>the Proponent</w:t>
      </w:r>
      <w:r>
        <w:t xml:space="preserve"> </w:t>
      </w:r>
      <w:r w:rsidR="00B74A5A">
        <w:t>must provide safety equipment to the Monitors including handheld radios, hard hats and hi viz</w:t>
      </w:r>
      <w:r w:rsidR="008E4E64">
        <w:t xml:space="preserve"> and such other equipment as may be required for the site and the Works. </w:t>
      </w:r>
    </w:p>
    <w:p w14:paraId="0415A062" w14:textId="78B18EAA" w:rsidR="00AC7363" w:rsidRDefault="007027D7" w:rsidP="004A19D9">
      <w:pPr>
        <w:pStyle w:val="ListParagraph"/>
        <w:numPr>
          <w:ilvl w:val="0"/>
          <w:numId w:val="1"/>
        </w:numPr>
      </w:pPr>
      <w:r>
        <w:t>the Proponent</w:t>
      </w:r>
      <w:r>
        <w:t xml:space="preserve"> </w:t>
      </w:r>
      <w:r w:rsidR="00AC7363">
        <w:t xml:space="preserve">shall be responsible for the costs of the Monitors </w:t>
      </w:r>
      <w:r w:rsidR="004B04ED">
        <w:t>as per cost estimate attached.</w:t>
      </w:r>
    </w:p>
    <w:p w14:paraId="26BF888B" w14:textId="22B2663B" w:rsidR="0028340B" w:rsidRDefault="00E809DA" w:rsidP="004A19D9">
      <w:pPr>
        <w:pStyle w:val="ListParagraph"/>
        <w:numPr>
          <w:ilvl w:val="0"/>
          <w:numId w:val="1"/>
        </w:numPr>
      </w:pPr>
      <w:r>
        <w:t>All parties are responsible for looking after their own safety and the safety of others. This includes being fit for work.</w:t>
      </w:r>
      <w:r w:rsidR="006603BC">
        <w:t xml:space="preserve"> </w:t>
      </w:r>
      <w:r w:rsidR="0028340B">
        <w:t xml:space="preserve">ETNTAC </w:t>
      </w:r>
      <w:r w:rsidR="00502CDD">
        <w:t>must ensure</w:t>
      </w:r>
      <w:r w:rsidR="0028340B">
        <w:t xml:space="preserve"> </w:t>
      </w:r>
      <w:r w:rsidR="00502CDD">
        <w:t>M</w:t>
      </w:r>
      <w:r w:rsidR="0028340B">
        <w:t>onitors are on site at the agreed time and place</w:t>
      </w:r>
      <w:r w:rsidR="006603BC">
        <w:t xml:space="preserve"> or a reasonable time thereaft</w:t>
      </w:r>
      <w:r w:rsidR="00961DDC">
        <w:t>er</w:t>
      </w:r>
      <w:r w:rsidR="0028340B">
        <w:t>.</w:t>
      </w:r>
    </w:p>
    <w:p w14:paraId="1E3B5690" w14:textId="109035A8" w:rsidR="0028340B" w:rsidRDefault="0028340B" w:rsidP="004A19D9">
      <w:pPr>
        <w:pStyle w:val="ListParagraph"/>
        <w:numPr>
          <w:ilvl w:val="0"/>
          <w:numId w:val="1"/>
        </w:numPr>
      </w:pPr>
      <w:r>
        <w:t xml:space="preserve">If the </w:t>
      </w:r>
      <w:r w:rsidR="00D86547">
        <w:t>M</w:t>
      </w:r>
      <w:r>
        <w:t>onitors are not on site</w:t>
      </w:r>
      <w:r w:rsidR="00961DDC">
        <w:t xml:space="preserve"> within an hour of</w:t>
      </w:r>
      <w:r>
        <w:t xml:space="preserve"> the agreed time and place, or if </w:t>
      </w:r>
      <w:r w:rsidR="00D86547">
        <w:t xml:space="preserve">the Monitors </w:t>
      </w:r>
      <w:r>
        <w:t xml:space="preserve">chose to leave site early, </w:t>
      </w:r>
      <w:r w:rsidR="007027D7">
        <w:t>the Proponent</w:t>
      </w:r>
      <w:r w:rsidR="007027D7">
        <w:t xml:space="preserve"> </w:t>
      </w:r>
      <w:r w:rsidR="00351CBF">
        <w:t xml:space="preserve">must contact ETNTAC Coordinator to advise and the Parties may agree to </w:t>
      </w:r>
      <w:r w:rsidR="007027D7">
        <w:t>the Proponent</w:t>
      </w:r>
      <w:r w:rsidR="007027D7">
        <w:t xml:space="preserve"> </w:t>
      </w:r>
      <w:r w:rsidR="00351CBF">
        <w:t>c</w:t>
      </w:r>
      <w:r>
        <w:t>ontinu</w:t>
      </w:r>
      <w:r w:rsidR="00351CBF">
        <w:t>ing</w:t>
      </w:r>
      <w:r>
        <w:t xml:space="preserve"> the </w:t>
      </w:r>
      <w:r w:rsidR="00351CBF">
        <w:t>W</w:t>
      </w:r>
      <w:r>
        <w:t xml:space="preserve">orks without </w:t>
      </w:r>
      <w:r w:rsidR="00351CBF">
        <w:t>M</w:t>
      </w:r>
      <w:r>
        <w:t>onitors present.</w:t>
      </w:r>
    </w:p>
    <w:p w14:paraId="748C711D" w14:textId="42BD2ABC" w:rsidR="00FE1E3B" w:rsidRDefault="00FE1E3B" w:rsidP="004A19D9">
      <w:pPr>
        <w:pStyle w:val="ListParagraph"/>
        <w:numPr>
          <w:ilvl w:val="0"/>
          <w:numId w:val="1"/>
        </w:numPr>
      </w:pPr>
      <w:r>
        <w:lastRenderedPageBreak/>
        <w:t xml:space="preserve">The </w:t>
      </w:r>
      <w:r w:rsidR="00351CBF">
        <w:t>M</w:t>
      </w:r>
      <w:r>
        <w:t xml:space="preserve">onitors are responsible for protecting </w:t>
      </w:r>
      <w:r w:rsidR="002803BC">
        <w:t>Aboriginal Cultural Heritage</w:t>
      </w:r>
      <w:r w:rsidR="002803BC" w:rsidDel="002803BC">
        <w:t xml:space="preserve"> </w:t>
      </w:r>
      <w:r>
        <w:t xml:space="preserve">from being impacted by </w:t>
      </w:r>
      <w:r w:rsidR="00282591">
        <w:t>the Works.</w:t>
      </w:r>
    </w:p>
    <w:p w14:paraId="784EDAED" w14:textId="5622843B" w:rsidR="00FE1E3B" w:rsidRDefault="00FE1E3B" w:rsidP="004A19D9">
      <w:pPr>
        <w:pStyle w:val="ListParagraph"/>
        <w:numPr>
          <w:ilvl w:val="0"/>
          <w:numId w:val="1"/>
        </w:numPr>
      </w:pPr>
      <w:r>
        <w:t xml:space="preserve">Monitors have the right to </w:t>
      </w:r>
      <w:r w:rsidR="00282591">
        <w:t>require</w:t>
      </w:r>
      <w:r w:rsidR="00B267AD">
        <w:t xml:space="preserve"> </w:t>
      </w:r>
      <w:r>
        <w:t>machine operators to stop work</w:t>
      </w:r>
      <w:r w:rsidR="00F11B2F">
        <w:t xml:space="preserve"> in accordance with the Stop Work Procedures</w:t>
      </w:r>
      <w:r>
        <w:t xml:space="preserve"> if they suspect that </w:t>
      </w:r>
      <w:r w:rsidR="00F11B2F">
        <w:t>Aboriginal Cultural Heritage</w:t>
      </w:r>
      <w:r w:rsidR="00F11B2F" w:rsidDel="00F11B2F">
        <w:t xml:space="preserve"> </w:t>
      </w:r>
      <w:r>
        <w:t>may be impacted</w:t>
      </w:r>
      <w:r w:rsidR="003B56C3">
        <w:t xml:space="preserve"> or if a detailed heritage investigation is required</w:t>
      </w:r>
      <w:r>
        <w:t>.</w:t>
      </w:r>
    </w:p>
    <w:p w14:paraId="0A0A103A" w14:textId="72510DE2" w:rsidR="00FE1E3B" w:rsidRDefault="007027D7" w:rsidP="00FE1E3B">
      <w:pPr>
        <w:pStyle w:val="ListParagraph"/>
        <w:numPr>
          <w:ilvl w:val="0"/>
          <w:numId w:val="1"/>
        </w:numPr>
      </w:pPr>
      <w:r>
        <w:t>T</w:t>
      </w:r>
      <w:r>
        <w:t>he Proponent</w:t>
      </w:r>
      <w:r w:rsidR="00472A7C">
        <w:t xml:space="preserve">, its staff, </w:t>
      </w:r>
      <w:r w:rsidR="00FE1E3B">
        <w:t xml:space="preserve">personnel and contractors </w:t>
      </w:r>
      <w:r w:rsidR="00472A7C">
        <w:t>must</w:t>
      </w:r>
      <w:r w:rsidR="00FE1E3B">
        <w:t xml:space="preserve"> </w:t>
      </w:r>
      <w:r w:rsidR="004B04ED">
        <w:t>adhere</w:t>
      </w:r>
      <w:r w:rsidR="00FE1E3B">
        <w:t xml:space="preserve"> to </w:t>
      </w:r>
      <w:r w:rsidR="00863C88">
        <w:t>M</w:t>
      </w:r>
      <w:r w:rsidR="00FE1E3B">
        <w:t>onitors requests to stop work</w:t>
      </w:r>
      <w:r w:rsidR="00B267AD">
        <w:t>,</w:t>
      </w:r>
      <w:r w:rsidR="00FE1E3B">
        <w:t xml:space="preserve"> if </w:t>
      </w:r>
      <w:r w:rsidR="00863C88">
        <w:t>M</w:t>
      </w:r>
      <w:r w:rsidR="00B267AD">
        <w:t xml:space="preserve">onitors </w:t>
      </w:r>
      <w:r w:rsidR="00FE1E3B">
        <w:t xml:space="preserve">suspect that </w:t>
      </w:r>
      <w:r w:rsidR="00863C88">
        <w:t>Aboriginal Cultural Heritage</w:t>
      </w:r>
      <w:r w:rsidR="00863C88" w:rsidDel="00863C88">
        <w:t xml:space="preserve"> </w:t>
      </w:r>
      <w:r w:rsidR="00FE1E3B">
        <w:t>may be impacted.</w:t>
      </w:r>
    </w:p>
    <w:p w14:paraId="4B9549EF" w14:textId="2BF4B621" w:rsidR="00374FFF" w:rsidRDefault="00025934" w:rsidP="00374FFF">
      <w:pPr>
        <w:pStyle w:val="ListParagraph"/>
        <w:numPr>
          <w:ilvl w:val="0"/>
          <w:numId w:val="1"/>
        </w:numPr>
      </w:pPr>
      <w:r>
        <w:t xml:space="preserve">If Aboriginal Cultural Heritage is located, </w:t>
      </w:r>
      <w:bookmarkStart w:id="1" w:name="_Hlk144337071"/>
      <w:r>
        <w:t xml:space="preserve">Monitors and </w:t>
      </w:r>
      <w:r w:rsidR="007027D7">
        <w:t>the Proponent</w:t>
      </w:r>
      <w:r w:rsidR="007027D7">
        <w:t xml:space="preserve"> </w:t>
      </w:r>
      <w:r>
        <w:t xml:space="preserve">may work together to </w:t>
      </w:r>
      <w:r w:rsidR="00D3085E">
        <w:t xml:space="preserve">determine if there is a suitable way to </w:t>
      </w:r>
      <w:r w:rsidR="00374FFF">
        <w:t xml:space="preserve">protect, or deviate around the Aboriginal </w:t>
      </w:r>
      <w:r w:rsidR="000053E8">
        <w:t>Cultural</w:t>
      </w:r>
      <w:r w:rsidR="00374FFF">
        <w:t xml:space="preserve"> Heritage. </w:t>
      </w:r>
    </w:p>
    <w:p w14:paraId="76440644" w14:textId="44794C2E" w:rsidR="00374FFF" w:rsidDel="004D433A" w:rsidRDefault="00374FFF" w:rsidP="00374FFF">
      <w:pPr>
        <w:pStyle w:val="ListParagraph"/>
        <w:numPr>
          <w:ilvl w:val="0"/>
          <w:numId w:val="1"/>
        </w:numPr>
      </w:pPr>
      <w:r>
        <w:t xml:space="preserve">If the Parties are unable to </w:t>
      </w:r>
      <w:r w:rsidR="00717D1F">
        <w:t xml:space="preserve">reach an agreement in relation to protecting or avoiding the Aboriginal Cultural Heritage, </w:t>
      </w:r>
      <w:r w:rsidR="005A357B">
        <w:t xml:space="preserve">the Parties agree a full </w:t>
      </w:r>
      <w:r w:rsidR="00613642">
        <w:t>survey</w:t>
      </w:r>
      <w:r w:rsidR="005A357B">
        <w:t xml:space="preserve"> </w:t>
      </w:r>
      <w:r w:rsidR="00613642" w:rsidRPr="00162815">
        <w:rPr>
          <w:rFonts w:cstheme="minorHAnsi"/>
        </w:rPr>
        <w:t>must be undertaken</w:t>
      </w:r>
      <w:r w:rsidR="00613642">
        <w:rPr>
          <w:rFonts w:cstheme="minorHAnsi"/>
        </w:rPr>
        <w:t xml:space="preserve"> in accordance with the heritage agreement</w:t>
      </w:r>
      <w:r w:rsidR="00613642">
        <w:rPr>
          <w:rFonts w:cstheme="minorHAnsi"/>
        </w:rPr>
        <w:t xml:space="preserve"> held between each party</w:t>
      </w:r>
      <w:r w:rsidR="00613642">
        <w:rPr>
          <w:rFonts w:cstheme="minorHAnsi"/>
        </w:rPr>
        <w:t>, and</w:t>
      </w:r>
      <w:r w:rsidR="00613642">
        <w:rPr>
          <w:rFonts w:cstheme="minorHAnsi"/>
        </w:rPr>
        <w:t xml:space="preserve"> under</w:t>
      </w:r>
      <w:r w:rsidR="00613642">
        <w:rPr>
          <w:rFonts w:cstheme="minorHAnsi"/>
        </w:rPr>
        <w:t xml:space="preserve"> law</w:t>
      </w:r>
      <w:r w:rsidR="00613642" w:rsidRPr="00162815">
        <w:rPr>
          <w:rFonts w:cstheme="minorHAnsi"/>
        </w:rPr>
        <w:t>.</w:t>
      </w:r>
      <w:r w:rsidR="00613642">
        <w:rPr>
          <w:rFonts w:cstheme="minorHAnsi"/>
        </w:rPr>
        <w:t xml:space="preserve"> If no heritage agreement exists, the provisions of Government Standard Heritage Agreement applies. </w:t>
      </w:r>
      <w:r w:rsidR="00613642">
        <w:rPr>
          <w:rFonts w:cstheme="minorHAnsi"/>
        </w:rPr>
        <w:t>The proponent shall cover the costs of the survey, as per the heritage agreement.</w:t>
      </w:r>
    </w:p>
    <w:bookmarkEnd w:id="1"/>
    <w:p w14:paraId="09436AFE" w14:textId="181F1342" w:rsidR="00F44376" w:rsidRDefault="00F44376" w:rsidP="004A19D9">
      <w:pPr>
        <w:pStyle w:val="ListParagraph"/>
        <w:numPr>
          <w:ilvl w:val="0"/>
          <w:numId w:val="1"/>
        </w:numPr>
      </w:pPr>
      <w:r>
        <w:t xml:space="preserve">Monitors determinations on </w:t>
      </w:r>
      <w:r w:rsidR="00863C88">
        <w:t xml:space="preserve">whether Aboriginal Cultural Heritage </w:t>
      </w:r>
      <w:r w:rsidR="00961FAB">
        <w:t>is present in the site</w:t>
      </w:r>
      <w:r>
        <w:t xml:space="preserve"> are final. </w:t>
      </w:r>
    </w:p>
    <w:p w14:paraId="2AE1B08E" w14:textId="77777777" w:rsidR="00177BC7" w:rsidRPr="004A19D9" w:rsidRDefault="00177BC7" w:rsidP="00177BC7">
      <w:pPr>
        <w:pStyle w:val="ListParagraph"/>
      </w:pPr>
    </w:p>
    <w:p w14:paraId="5667065C" w14:textId="397C6802" w:rsidR="004A19D9" w:rsidRDefault="005F6A91" w:rsidP="005F6A91">
      <w:pPr>
        <w:spacing w:after="0"/>
        <w:rPr>
          <w:b/>
          <w:bCs/>
        </w:rPr>
      </w:pPr>
      <w:r>
        <w:rPr>
          <w:b/>
          <w:bCs/>
        </w:rPr>
        <w:t>Procedures</w:t>
      </w:r>
    </w:p>
    <w:p w14:paraId="733D024A" w14:textId="6685CDDB" w:rsidR="005F6A91" w:rsidRDefault="007027D7" w:rsidP="005F6A91">
      <w:pPr>
        <w:pStyle w:val="ListParagraph"/>
        <w:numPr>
          <w:ilvl w:val="0"/>
          <w:numId w:val="2"/>
        </w:numPr>
        <w:spacing w:after="0"/>
      </w:pPr>
      <w:r>
        <w:t>T</w:t>
      </w:r>
      <w:r>
        <w:t>he Proponent</w:t>
      </w:r>
      <w:r>
        <w:t xml:space="preserve"> must </w:t>
      </w:r>
      <w:r w:rsidR="005F6A91">
        <w:t xml:space="preserve">provide ETNTAC with at least 7 </w:t>
      </w:r>
      <w:proofErr w:type="spellStart"/>
      <w:r w:rsidR="005F6A91">
        <w:t>days notice</w:t>
      </w:r>
      <w:proofErr w:type="spellEnd"/>
      <w:r w:rsidR="005F6A91">
        <w:t xml:space="preserve"> prior to monitors being required. More notice is desirable.</w:t>
      </w:r>
    </w:p>
    <w:p w14:paraId="7803BCD8" w14:textId="5F5FE950" w:rsidR="007673DE" w:rsidRDefault="007673DE" w:rsidP="005F6A91">
      <w:pPr>
        <w:pStyle w:val="ListParagraph"/>
        <w:numPr>
          <w:ilvl w:val="0"/>
          <w:numId w:val="2"/>
        </w:numPr>
        <w:spacing w:after="0"/>
      </w:pPr>
      <w:r>
        <w:t>ETNTAC schedule two appropriately qualified monitors for each day of the clearing/earthworks.</w:t>
      </w:r>
    </w:p>
    <w:p w14:paraId="66196CE3" w14:textId="19B846A0" w:rsidR="005F6A91" w:rsidRDefault="005F6A91" w:rsidP="005F6A91">
      <w:pPr>
        <w:pStyle w:val="ListParagraph"/>
        <w:numPr>
          <w:ilvl w:val="0"/>
          <w:numId w:val="2"/>
        </w:numPr>
        <w:spacing w:after="0"/>
      </w:pPr>
      <w:r>
        <w:t>Monitors arrive on site at agreed time and location.</w:t>
      </w:r>
      <w:r w:rsidR="007673DE">
        <w:t xml:space="preserve"> Transport to be arranged between ETNTAC and </w:t>
      </w:r>
      <w:r w:rsidR="007027D7">
        <w:t>the Proponent</w:t>
      </w:r>
      <w:r w:rsidR="007027D7">
        <w:t xml:space="preserve"> </w:t>
      </w:r>
      <w:r w:rsidR="007673DE">
        <w:t>in advance</w:t>
      </w:r>
      <w:r w:rsidR="007027D7">
        <w:t>,</w:t>
      </w:r>
      <w:r w:rsidR="00493A0D">
        <w:t xml:space="preserve"> with </w:t>
      </w:r>
      <w:r w:rsidR="007027D7">
        <w:t>the Proponent</w:t>
      </w:r>
      <w:r w:rsidR="007027D7">
        <w:t xml:space="preserve"> </w:t>
      </w:r>
      <w:r w:rsidR="00493A0D">
        <w:t>to provide a hire car for Monitors</w:t>
      </w:r>
      <w:r w:rsidR="007027D7">
        <w:t xml:space="preserve"> unless otherwise agreed</w:t>
      </w:r>
      <w:r w:rsidR="007673DE">
        <w:t>.</w:t>
      </w:r>
    </w:p>
    <w:p w14:paraId="0485B3C5" w14:textId="56E0A88D" w:rsidR="005F6A91" w:rsidRDefault="005F6A91" w:rsidP="005F6A91">
      <w:pPr>
        <w:pStyle w:val="ListParagraph"/>
        <w:numPr>
          <w:ilvl w:val="0"/>
          <w:numId w:val="2"/>
        </w:numPr>
        <w:spacing w:after="0"/>
      </w:pPr>
      <w:r>
        <w:t xml:space="preserve">Cultural Heritage Monitoring to be discussed with entire works team during morning ‘toolbox meeting’. The purpose of this is to incorporate the plan for monitoring into the daily work plan and to ensure that everyone understands why the monitors are there, what the monitors roles are, and what to do if the monitors find something. </w:t>
      </w:r>
    </w:p>
    <w:p w14:paraId="57A2BE44" w14:textId="3F8A6CF8" w:rsidR="007673DE" w:rsidRDefault="00162815" w:rsidP="005F6A91">
      <w:pPr>
        <w:pStyle w:val="ListParagraph"/>
        <w:numPr>
          <w:ilvl w:val="0"/>
          <w:numId w:val="2"/>
        </w:numPr>
        <w:spacing w:after="0"/>
      </w:pPr>
      <w:r>
        <w:t xml:space="preserve">If the proponent is operating large machinery, the proponent must provide </w:t>
      </w:r>
      <w:r w:rsidR="007673DE">
        <w:t xml:space="preserve">Monitors </w:t>
      </w:r>
      <w:r>
        <w:t>with</w:t>
      </w:r>
      <w:r w:rsidR="007673DE">
        <w:t xml:space="preserve"> hand-held radios to maintain communications with machine operators.</w:t>
      </w:r>
    </w:p>
    <w:p w14:paraId="0F9C2DA2" w14:textId="6D0FBB29" w:rsidR="007673DE" w:rsidRDefault="007673DE" w:rsidP="005F6A91">
      <w:pPr>
        <w:pStyle w:val="ListParagraph"/>
        <w:numPr>
          <w:ilvl w:val="0"/>
          <w:numId w:val="2"/>
        </w:numPr>
        <w:spacing w:after="0"/>
      </w:pPr>
      <w:r>
        <w:t>Monitors may scout ahead of the machine where appropriate and where safe to do so. Positive communications with the machine operator needs to be maintained during this process.</w:t>
      </w:r>
    </w:p>
    <w:p w14:paraId="336A4030" w14:textId="7A23BBC0" w:rsidR="007673DE" w:rsidRDefault="007673DE" w:rsidP="005F6A91">
      <w:pPr>
        <w:pStyle w:val="ListParagraph"/>
        <w:numPr>
          <w:ilvl w:val="0"/>
          <w:numId w:val="2"/>
        </w:numPr>
        <w:spacing w:after="0"/>
      </w:pPr>
      <w:r>
        <w:t>Monitors may work behind the machine where appropriate to check if anything has been uncovered.</w:t>
      </w:r>
    </w:p>
    <w:p w14:paraId="2BC15691" w14:textId="6AE6FC0A" w:rsidR="007673DE" w:rsidRDefault="007673DE" w:rsidP="005F6A91">
      <w:pPr>
        <w:pStyle w:val="ListParagraph"/>
        <w:numPr>
          <w:ilvl w:val="0"/>
          <w:numId w:val="2"/>
        </w:numPr>
        <w:spacing w:after="0"/>
      </w:pPr>
      <w:r>
        <w:t xml:space="preserve">If </w:t>
      </w:r>
      <w:r w:rsidR="007027D7">
        <w:t>monitors identify a</w:t>
      </w:r>
      <w:r w:rsidR="00FC3946">
        <w:t xml:space="preserve"> </w:t>
      </w:r>
      <w:r>
        <w:t xml:space="preserve">culturally Sensitive Area (CSA) </w:t>
      </w:r>
      <w:r w:rsidR="007027D7">
        <w:t>in the work area</w:t>
      </w:r>
      <w:r>
        <w:t xml:space="preserve">, the machine </w:t>
      </w:r>
      <w:r w:rsidR="004C419C">
        <w:t xml:space="preserve">is </w:t>
      </w:r>
      <w:r>
        <w:t xml:space="preserve">to stop working in that area, while the </w:t>
      </w:r>
      <w:r w:rsidR="003A4397">
        <w:t>M</w:t>
      </w:r>
      <w:r>
        <w:t xml:space="preserve">onitors investigate. </w:t>
      </w:r>
    </w:p>
    <w:p w14:paraId="76866B09" w14:textId="1B98C3F2" w:rsidR="007673DE" w:rsidRDefault="007673DE" w:rsidP="005F6A91">
      <w:pPr>
        <w:pStyle w:val="ListParagraph"/>
        <w:numPr>
          <w:ilvl w:val="0"/>
          <w:numId w:val="2"/>
        </w:numPr>
        <w:spacing w:after="0"/>
      </w:pPr>
      <w:r>
        <w:t>If a suitable deviation around the CSA</w:t>
      </w:r>
      <w:r w:rsidR="00F44376">
        <w:t xml:space="preserve"> cannot be agreed upon</w:t>
      </w:r>
      <w:r>
        <w:t xml:space="preserve">, a full </w:t>
      </w:r>
      <w:r w:rsidR="007027D7">
        <w:t>survey</w:t>
      </w:r>
      <w:r>
        <w:t xml:space="preserve"> of the area will be necessary to determine suitable cultural heritage management actions. </w:t>
      </w:r>
      <w:r w:rsidR="004C419C">
        <w:t>This may take some days to organise</w:t>
      </w:r>
      <w:r w:rsidR="00933539">
        <w:t xml:space="preserve"> and may require </w:t>
      </w:r>
      <w:r w:rsidR="002C5550">
        <w:t>a site avoidance survey to occur</w:t>
      </w:r>
      <w:r w:rsidR="004C419C">
        <w:t xml:space="preserve">. </w:t>
      </w:r>
      <w:r>
        <w:t xml:space="preserve">If this occurs </w:t>
      </w:r>
      <w:r w:rsidR="004C419C">
        <w:t>the earthworks team should find other areas to work, so that progress is not unduly impacted.</w:t>
      </w:r>
    </w:p>
    <w:p w14:paraId="0084E58C" w14:textId="77777777" w:rsidR="00162815" w:rsidRDefault="004C419C" w:rsidP="00097CDC">
      <w:pPr>
        <w:pStyle w:val="ListParagraph"/>
        <w:numPr>
          <w:ilvl w:val="0"/>
          <w:numId w:val="2"/>
        </w:numPr>
        <w:spacing w:after="0"/>
      </w:pPr>
      <w:r>
        <w:t xml:space="preserve">Monitors </w:t>
      </w:r>
      <w:r w:rsidR="007A3723">
        <w:t>may</w:t>
      </w:r>
      <w:r>
        <w:t xml:space="preserve"> stop work if bones are found,</w:t>
      </w:r>
      <w:r w:rsidR="007A3723">
        <w:t xml:space="preserve"> and the Parties must work together to determine whether the bones are animal or human skeletal remains</w:t>
      </w:r>
      <w:r w:rsidR="009956A5">
        <w:t xml:space="preserve">. If the Parties are unable to make a determination, </w:t>
      </w:r>
      <w:r w:rsidR="00162815">
        <w:t>the Proponent</w:t>
      </w:r>
      <w:r w:rsidR="00162815">
        <w:t xml:space="preserve"> </w:t>
      </w:r>
      <w:r w:rsidR="009956A5">
        <w:t xml:space="preserve">must contact ETNTAC to advise and </w:t>
      </w:r>
      <w:r w:rsidR="00162815">
        <w:t>the Proponent</w:t>
      </w:r>
      <w:r w:rsidR="00162815">
        <w:t xml:space="preserve"> </w:t>
      </w:r>
      <w:r w:rsidR="009956A5">
        <w:t xml:space="preserve">must make suitable arrangements for a qualified person to determine whether </w:t>
      </w:r>
      <w:r w:rsidR="009956A5">
        <w:lastRenderedPageBreak/>
        <w:t xml:space="preserve">the bones are animal or human. </w:t>
      </w:r>
      <w:r w:rsidR="00162815">
        <w:t xml:space="preserve">If the bones are human, </w:t>
      </w:r>
      <w:r w:rsidR="00162815">
        <w:t>the Proponent</w:t>
      </w:r>
      <w:r w:rsidR="00162815">
        <w:t xml:space="preserve"> is responsible for contacting the police.</w:t>
      </w:r>
      <w:bookmarkStart w:id="2" w:name="_Toc284514702"/>
    </w:p>
    <w:p w14:paraId="5830A54B" w14:textId="77777777" w:rsidR="00162815" w:rsidRDefault="00162815" w:rsidP="00162815">
      <w:pPr>
        <w:spacing w:after="0"/>
        <w:ind w:left="360"/>
      </w:pPr>
    </w:p>
    <w:p w14:paraId="1462719A" w14:textId="0566EA21" w:rsidR="00FA3D51" w:rsidRPr="00162815" w:rsidRDefault="00FA3D51" w:rsidP="00162815">
      <w:pPr>
        <w:spacing w:after="0"/>
      </w:pPr>
      <w:r w:rsidRPr="00162815">
        <w:rPr>
          <w:rFonts w:cstheme="minorHAnsi"/>
          <w:b/>
          <w:bCs/>
        </w:rPr>
        <w:t>Stop Work Procedures</w:t>
      </w:r>
      <w:bookmarkEnd w:id="2"/>
    </w:p>
    <w:p w14:paraId="04E29EAC" w14:textId="18A570E4" w:rsidR="005B285C" w:rsidRPr="00162815" w:rsidRDefault="00FA3D51" w:rsidP="00162815">
      <w:pPr>
        <w:pStyle w:val="StyleHeading2BoldAfter12ptLinespacingsingle"/>
        <w:numPr>
          <w:ilvl w:val="0"/>
          <w:numId w:val="2"/>
        </w:numPr>
        <w:rPr>
          <w:rFonts w:asciiTheme="minorHAnsi" w:hAnsiTheme="minorHAnsi" w:cstheme="minorHAnsi"/>
          <w:sz w:val="22"/>
          <w:szCs w:val="22"/>
          <w:u w:val="single"/>
        </w:rPr>
      </w:pPr>
      <w:r w:rsidRPr="00162815">
        <w:rPr>
          <w:rFonts w:asciiTheme="minorHAnsi" w:hAnsiTheme="minorHAnsi" w:cstheme="minorHAnsi"/>
          <w:sz w:val="22"/>
          <w:szCs w:val="22"/>
        </w:rPr>
        <w:t xml:space="preserve">In the event of </w:t>
      </w:r>
      <w:r w:rsidR="000053E8" w:rsidRPr="00162815">
        <w:rPr>
          <w:rFonts w:asciiTheme="minorHAnsi" w:hAnsiTheme="minorHAnsi" w:cstheme="minorHAnsi"/>
          <w:sz w:val="22"/>
          <w:szCs w:val="22"/>
          <w:lang w:val="en-AU"/>
        </w:rPr>
        <w:t>Aboriginal Cultural Heritage</w:t>
      </w:r>
      <w:r w:rsidRPr="00162815">
        <w:rPr>
          <w:rFonts w:asciiTheme="minorHAnsi" w:hAnsiTheme="minorHAnsi" w:cstheme="minorHAnsi"/>
          <w:sz w:val="22"/>
          <w:szCs w:val="22"/>
        </w:rPr>
        <w:t xml:space="preserve"> being discovered during Works, </w:t>
      </w:r>
      <w:r w:rsidR="00162815" w:rsidRPr="00162815">
        <w:rPr>
          <w:rFonts w:asciiTheme="minorHAnsi" w:hAnsiTheme="minorHAnsi" w:cstheme="minorHAnsi"/>
          <w:sz w:val="22"/>
          <w:szCs w:val="22"/>
          <w:lang w:val="en-AU"/>
        </w:rPr>
        <w:t>the Proponent</w:t>
      </w:r>
      <w:r w:rsidR="00162815" w:rsidRPr="00162815">
        <w:rPr>
          <w:rFonts w:asciiTheme="minorHAnsi" w:hAnsiTheme="minorHAnsi" w:cstheme="minorHAnsi"/>
          <w:sz w:val="22"/>
          <w:szCs w:val="22"/>
          <w:lang w:val="en-AU"/>
        </w:rPr>
        <w:t xml:space="preserve"> </w:t>
      </w:r>
      <w:r w:rsidRPr="00162815">
        <w:rPr>
          <w:rFonts w:asciiTheme="minorHAnsi" w:hAnsiTheme="minorHAnsi" w:cstheme="minorHAnsi"/>
          <w:sz w:val="22"/>
          <w:szCs w:val="22"/>
        </w:rPr>
        <w:t xml:space="preserve">shall ensure that Works in the immediate area of the </w:t>
      </w:r>
      <w:r w:rsidR="000053E8" w:rsidRPr="00162815">
        <w:rPr>
          <w:rFonts w:asciiTheme="minorHAnsi" w:hAnsiTheme="minorHAnsi" w:cstheme="minorHAnsi"/>
          <w:sz w:val="22"/>
          <w:szCs w:val="22"/>
          <w:lang w:val="en-AU"/>
        </w:rPr>
        <w:t>Aboriginal Cultural Heritage</w:t>
      </w:r>
      <w:r w:rsidRPr="00162815">
        <w:rPr>
          <w:rFonts w:asciiTheme="minorHAnsi" w:hAnsiTheme="minorHAnsi" w:cstheme="minorHAnsi"/>
          <w:sz w:val="22"/>
          <w:szCs w:val="22"/>
        </w:rPr>
        <w:t xml:space="preserve"> immediately stop, and </w:t>
      </w:r>
      <w:r w:rsidR="005B285C" w:rsidRPr="00162815">
        <w:rPr>
          <w:rFonts w:asciiTheme="minorHAnsi" w:hAnsiTheme="minorHAnsi" w:cstheme="minorHAnsi"/>
          <w:sz w:val="22"/>
          <w:szCs w:val="22"/>
          <w:lang w:val="en-AU"/>
        </w:rPr>
        <w:t xml:space="preserve">the Monitors shall notify ETNTAC. </w:t>
      </w:r>
    </w:p>
    <w:p w14:paraId="0E30DF32" w14:textId="0B619D6D" w:rsidR="005B285C" w:rsidRPr="00162815" w:rsidRDefault="005B285C" w:rsidP="00162815">
      <w:pPr>
        <w:pStyle w:val="StyleHeading2BoldAfter12ptLinespacingsingle"/>
        <w:numPr>
          <w:ilvl w:val="0"/>
          <w:numId w:val="2"/>
        </w:numPr>
        <w:rPr>
          <w:rFonts w:asciiTheme="minorHAnsi" w:hAnsiTheme="minorHAnsi" w:cstheme="minorHAnsi"/>
          <w:sz w:val="22"/>
          <w:szCs w:val="22"/>
        </w:rPr>
      </w:pPr>
      <w:r w:rsidRPr="00162815">
        <w:rPr>
          <w:rFonts w:asciiTheme="minorHAnsi" w:hAnsiTheme="minorHAnsi" w:cstheme="minorHAnsi"/>
          <w:sz w:val="22"/>
          <w:szCs w:val="22"/>
          <w:lang w:val="en-AU"/>
        </w:rPr>
        <w:t xml:space="preserve">The Parties shall </w:t>
      </w:r>
      <w:r w:rsidRPr="00162815">
        <w:rPr>
          <w:rFonts w:asciiTheme="minorHAnsi" w:hAnsiTheme="minorHAnsi" w:cstheme="minorHAnsi"/>
          <w:sz w:val="22"/>
          <w:szCs w:val="22"/>
        </w:rPr>
        <w:t xml:space="preserve">work together </w:t>
      </w:r>
      <w:r w:rsidRPr="00162815">
        <w:rPr>
          <w:rFonts w:asciiTheme="minorHAnsi" w:hAnsiTheme="minorHAnsi" w:cstheme="minorHAnsi"/>
          <w:sz w:val="22"/>
          <w:szCs w:val="22"/>
          <w:lang w:val="en-AU"/>
        </w:rPr>
        <w:t xml:space="preserve">for a reasonable period of time </w:t>
      </w:r>
      <w:r w:rsidRPr="00162815">
        <w:rPr>
          <w:rFonts w:asciiTheme="minorHAnsi" w:hAnsiTheme="minorHAnsi" w:cstheme="minorHAnsi"/>
          <w:sz w:val="22"/>
          <w:szCs w:val="22"/>
        </w:rPr>
        <w:t xml:space="preserve">to determine if there is a suitable way to protect, or deviate around the Aboriginal Cultural Heritage. </w:t>
      </w:r>
    </w:p>
    <w:p w14:paraId="46CB947D" w14:textId="080CB2D6" w:rsidR="005F6A91" w:rsidRPr="00613642" w:rsidRDefault="005B285C" w:rsidP="00232BC2">
      <w:pPr>
        <w:pStyle w:val="StyleHeading2BoldAfter12ptLinespacingsingle"/>
        <w:numPr>
          <w:ilvl w:val="0"/>
          <w:numId w:val="2"/>
        </w:numPr>
        <w:rPr>
          <w:rFonts w:asciiTheme="minorHAnsi" w:hAnsiTheme="minorHAnsi" w:cstheme="minorHAnsi"/>
          <w:sz w:val="22"/>
          <w:szCs w:val="22"/>
          <w:u w:val="single"/>
        </w:rPr>
      </w:pPr>
      <w:r w:rsidRPr="00162815">
        <w:rPr>
          <w:rFonts w:asciiTheme="minorHAnsi" w:hAnsiTheme="minorHAnsi" w:cstheme="minorHAnsi"/>
          <w:sz w:val="22"/>
          <w:szCs w:val="22"/>
        </w:rPr>
        <w:t xml:space="preserve">If the Parties are unable to reach an agreement in relation to protecting or avoiding the Aboriginal Cultural Heritage, the Parties agree a full </w:t>
      </w:r>
      <w:r w:rsidR="00162815">
        <w:rPr>
          <w:rFonts w:asciiTheme="minorHAnsi" w:hAnsiTheme="minorHAnsi" w:cstheme="minorHAnsi"/>
          <w:sz w:val="22"/>
          <w:szCs w:val="22"/>
          <w:lang w:val="en-AU"/>
        </w:rPr>
        <w:t>survey</w:t>
      </w:r>
      <w:r w:rsidR="00613642">
        <w:rPr>
          <w:rFonts w:asciiTheme="minorHAnsi" w:hAnsiTheme="minorHAnsi" w:cstheme="minorHAnsi"/>
          <w:sz w:val="22"/>
          <w:szCs w:val="22"/>
          <w:lang w:val="en-AU"/>
        </w:rPr>
        <w:t xml:space="preserve"> must be undertaken. </w:t>
      </w:r>
      <w:r w:rsidR="005031B2" w:rsidRPr="00162815">
        <w:rPr>
          <w:rFonts w:asciiTheme="minorHAnsi" w:hAnsiTheme="minorHAnsi" w:cstheme="minorHAnsi"/>
          <w:sz w:val="22"/>
          <w:szCs w:val="22"/>
          <w:lang w:val="en-AU"/>
        </w:rPr>
        <w:t>Monitors must contact the ETNTAC Coordinator an</w:t>
      </w:r>
      <w:r w:rsidR="008F4330" w:rsidRPr="00162815">
        <w:rPr>
          <w:rFonts w:asciiTheme="minorHAnsi" w:hAnsiTheme="minorHAnsi" w:cstheme="minorHAnsi"/>
          <w:sz w:val="22"/>
          <w:szCs w:val="22"/>
          <w:lang w:val="en-AU"/>
        </w:rPr>
        <w:t>d ETNTAC</w:t>
      </w:r>
      <w:r w:rsidR="00613642">
        <w:rPr>
          <w:rFonts w:asciiTheme="minorHAnsi" w:hAnsiTheme="minorHAnsi" w:cstheme="minorHAnsi"/>
          <w:sz w:val="22"/>
          <w:szCs w:val="22"/>
          <w:lang w:val="en-AU"/>
        </w:rPr>
        <w:t xml:space="preserve"> shall arrange for the survey to be undertaken.</w:t>
      </w:r>
    </w:p>
    <w:sectPr w:rsidR="005F6A91" w:rsidRPr="00613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5D26" w14:textId="77777777" w:rsidR="001F721D" w:rsidRDefault="001F721D" w:rsidP="00162815">
      <w:pPr>
        <w:spacing w:after="0" w:line="240" w:lineRule="auto"/>
      </w:pPr>
      <w:r>
        <w:separator/>
      </w:r>
    </w:p>
  </w:endnote>
  <w:endnote w:type="continuationSeparator" w:id="0">
    <w:p w14:paraId="6384D495" w14:textId="77777777" w:rsidR="001F721D" w:rsidRDefault="001F721D" w:rsidP="0016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939C" w14:textId="77777777" w:rsidR="001F721D" w:rsidRDefault="001F721D" w:rsidP="00162815">
      <w:pPr>
        <w:spacing w:after="0" w:line="240" w:lineRule="auto"/>
      </w:pPr>
      <w:r>
        <w:separator/>
      </w:r>
    </w:p>
  </w:footnote>
  <w:footnote w:type="continuationSeparator" w:id="0">
    <w:p w14:paraId="7E0B2C44" w14:textId="77777777" w:rsidR="001F721D" w:rsidRDefault="001F721D" w:rsidP="00162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5455"/>
    <w:multiLevelType w:val="hybridMultilevel"/>
    <w:tmpl w:val="0E46F0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084C07"/>
    <w:multiLevelType w:val="multilevel"/>
    <w:tmpl w:val="76422546"/>
    <w:lvl w:ilvl="0">
      <w:start w:val="1"/>
      <w:numFmt w:val="decimal"/>
      <w:pStyle w:val="StyleHeading1BoldAllcapsAfter12ptLinespacingsin"/>
      <w:lvlText w:val="%1"/>
      <w:lvlJc w:val="left"/>
      <w:pPr>
        <w:tabs>
          <w:tab w:val="num" w:pos="851"/>
        </w:tabs>
        <w:ind w:left="851" w:hanging="851"/>
      </w:pPr>
      <w:rPr>
        <w:rFonts w:ascii="Arial Bold" w:hAnsi="Arial Bold" w:hint="default"/>
        <w:b/>
        <w:i w:val="0"/>
        <w:caps/>
        <w:sz w:val="22"/>
        <w:szCs w:val="22"/>
      </w:rPr>
    </w:lvl>
    <w:lvl w:ilvl="1">
      <w:start w:val="1"/>
      <w:numFmt w:val="decimal"/>
      <w:pStyle w:val="StyleHeading2BoldAfter12ptLinespacingsingle"/>
      <w:lvlText w:val="%1.%2"/>
      <w:lvlJc w:val="left"/>
      <w:pPr>
        <w:tabs>
          <w:tab w:val="num" w:pos="851"/>
        </w:tabs>
        <w:ind w:left="851" w:hanging="851"/>
      </w:pPr>
      <w:rPr>
        <w:b w:val="0"/>
        <w:i w:val="0"/>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lowerLetter"/>
      <w:pStyle w:val="StyleHeading4Left15cmFirstline0cmAfter12pt"/>
      <w:lvlText w:val="(%4)"/>
      <w:lvlJc w:val="left"/>
      <w:pPr>
        <w:tabs>
          <w:tab w:val="num" w:pos="1560"/>
        </w:tabs>
        <w:ind w:left="1560" w:hanging="850"/>
      </w:pPr>
      <w:rPr>
        <w:rFonts w:ascii="Arial" w:hAnsi="Arial" w:hint="default"/>
        <w:b w:val="0"/>
        <w:i w:val="0"/>
        <w:sz w:val="22"/>
        <w:szCs w:val="22"/>
      </w:rPr>
    </w:lvl>
    <w:lvl w:ilvl="4">
      <w:start w:val="1"/>
      <w:numFmt w:val="lowerRoman"/>
      <w:lvlText w:val="(%5)"/>
      <w:lvlJc w:val="left"/>
      <w:pPr>
        <w:tabs>
          <w:tab w:val="num" w:pos="2552"/>
        </w:tabs>
        <w:ind w:left="2552" w:hanging="851"/>
      </w:pPr>
      <w:rPr>
        <w:rFonts w:ascii="Arial" w:hAnsi="Arial" w:cs="Wingdings" w:hint="default"/>
        <w:b w:val="0"/>
        <w:i w:val="0"/>
        <w:sz w:val="22"/>
        <w:szCs w:val="22"/>
      </w:rPr>
    </w:lvl>
    <w:lvl w:ilvl="5">
      <w:start w:val="1"/>
      <w:numFmt w:val="upperLetter"/>
      <w:pStyle w:val="Heading6"/>
      <w:lvlText w:val="(%6)"/>
      <w:lvlJc w:val="left"/>
      <w:pPr>
        <w:tabs>
          <w:tab w:val="num" w:pos="4473"/>
        </w:tabs>
        <w:ind w:left="284" w:firstLine="3829"/>
      </w:pPr>
      <w:rPr>
        <w:rFonts w:hint="default"/>
        <w:b w:val="0"/>
        <w:i w:val="0"/>
        <w:sz w:val="24"/>
      </w:rPr>
    </w:lvl>
    <w:lvl w:ilvl="6">
      <w:start w:val="1"/>
      <w:numFmt w:val="upperLetter"/>
      <w:pStyle w:val="Heading7"/>
      <w:lvlText w:val="%7."/>
      <w:lvlJc w:val="left"/>
      <w:pPr>
        <w:tabs>
          <w:tab w:val="num" w:pos="360"/>
        </w:tabs>
        <w:ind w:left="284" w:hanging="284"/>
      </w:pPr>
      <w:rPr>
        <w:rFonts w:ascii="Times New Roman" w:hAnsi="Times New Roman" w:hint="default"/>
        <w:sz w:val="26"/>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6951"/>
        </w:tabs>
        <w:ind w:left="6951" w:hanging="711"/>
      </w:pPr>
      <w:rPr>
        <w:rFonts w:hint="default"/>
      </w:rPr>
    </w:lvl>
  </w:abstractNum>
  <w:abstractNum w:abstractNumId="2" w15:restartNumberingAfterBreak="0">
    <w:nsid w:val="78F94C4F"/>
    <w:multiLevelType w:val="hybridMultilevel"/>
    <w:tmpl w:val="306E38F6"/>
    <w:lvl w:ilvl="0" w:tplc="0C09000F">
      <w:start w:val="1"/>
      <w:numFmt w:val="decimal"/>
      <w:lvlText w:val="%1."/>
      <w:lvlJc w:val="left"/>
      <w:pPr>
        <w:ind w:left="720" w:hanging="360"/>
      </w:pPr>
    </w:lvl>
    <w:lvl w:ilvl="1" w:tplc="7E309AD0">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097016">
    <w:abstractNumId w:val="0"/>
  </w:num>
  <w:num w:numId="2" w16cid:durableId="14313718">
    <w:abstractNumId w:val="2"/>
  </w:num>
  <w:num w:numId="3" w16cid:durableId="58839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B2"/>
    <w:rsid w:val="000052F0"/>
    <w:rsid w:val="000053E8"/>
    <w:rsid w:val="00025934"/>
    <w:rsid w:val="00080B6C"/>
    <w:rsid w:val="00097CDC"/>
    <w:rsid w:val="000A0489"/>
    <w:rsid w:val="000B5846"/>
    <w:rsid w:val="000B5B54"/>
    <w:rsid w:val="000C48AF"/>
    <w:rsid w:val="000C6AF5"/>
    <w:rsid w:val="000E3825"/>
    <w:rsid w:val="001404CD"/>
    <w:rsid w:val="00162815"/>
    <w:rsid w:val="00177BC7"/>
    <w:rsid w:val="001B37E8"/>
    <w:rsid w:val="001D1139"/>
    <w:rsid w:val="001E470D"/>
    <w:rsid w:val="001F721D"/>
    <w:rsid w:val="00213B6D"/>
    <w:rsid w:val="00231238"/>
    <w:rsid w:val="00232BC2"/>
    <w:rsid w:val="002803BC"/>
    <w:rsid w:val="00282591"/>
    <w:rsid w:val="0028340B"/>
    <w:rsid w:val="002A000E"/>
    <w:rsid w:val="002A1C8D"/>
    <w:rsid w:val="002C5550"/>
    <w:rsid w:val="00311125"/>
    <w:rsid w:val="00351CBF"/>
    <w:rsid w:val="00374FFF"/>
    <w:rsid w:val="00377B00"/>
    <w:rsid w:val="00390F14"/>
    <w:rsid w:val="003A4397"/>
    <w:rsid w:val="003B12FF"/>
    <w:rsid w:val="003B56C3"/>
    <w:rsid w:val="00472A7C"/>
    <w:rsid w:val="00493A0D"/>
    <w:rsid w:val="004A19D9"/>
    <w:rsid w:val="004B04ED"/>
    <w:rsid w:val="004C419C"/>
    <w:rsid w:val="004D433A"/>
    <w:rsid w:val="00502CDD"/>
    <w:rsid w:val="005031B2"/>
    <w:rsid w:val="00546DC8"/>
    <w:rsid w:val="00582F17"/>
    <w:rsid w:val="005A357B"/>
    <w:rsid w:val="005B285C"/>
    <w:rsid w:val="005B74D3"/>
    <w:rsid w:val="005C6067"/>
    <w:rsid w:val="005F6A91"/>
    <w:rsid w:val="00603F26"/>
    <w:rsid w:val="006050B3"/>
    <w:rsid w:val="0060784D"/>
    <w:rsid w:val="00613642"/>
    <w:rsid w:val="006371B6"/>
    <w:rsid w:val="006441CD"/>
    <w:rsid w:val="006500AB"/>
    <w:rsid w:val="006603BC"/>
    <w:rsid w:val="00690894"/>
    <w:rsid w:val="006E4EC7"/>
    <w:rsid w:val="007027D7"/>
    <w:rsid w:val="00717D1F"/>
    <w:rsid w:val="00731B3A"/>
    <w:rsid w:val="007673DE"/>
    <w:rsid w:val="00775D97"/>
    <w:rsid w:val="00786B16"/>
    <w:rsid w:val="007A3723"/>
    <w:rsid w:val="007C72F8"/>
    <w:rsid w:val="007F3B6D"/>
    <w:rsid w:val="00850BB9"/>
    <w:rsid w:val="00863C88"/>
    <w:rsid w:val="00873691"/>
    <w:rsid w:val="008946DC"/>
    <w:rsid w:val="008D1BDA"/>
    <w:rsid w:val="008E4E64"/>
    <w:rsid w:val="008F3DB2"/>
    <w:rsid w:val="008F4330"/>
    <w:rsid w:val="00933539"/>
    <w:rsid w:val="009523B3"/>
    <w:rsid w:val="00961DDC"/>
    <w:rsid w:val="00961FAB"/>
    <w:rsid w:val="009956A5"/>
    <w:rsid w:val="00A160D3"/>
    <w:rsid w:val="00AC7363"/>
    <w:rsid w:val="00AD5821"/>
    <w:rsid w:val="00AE0325"/>
    <w:rsid w:val="00B22CCB"/>
    <w:rsid w:val="00B267AD"/>
    <w:rsid w:val="00B44632"/>
    <w:rsid w:val="00B74A5A"/>
    <w:rsid w:val="00BA07AE"/>
    <w:rsid w:val="00BF344D"/>
    <w:rsid w:val="00C30308"/>
    <w:rsid w:val="00C33744"/>
    <w:rsid w:val="00C44DFE"/>
    <w:rsid w:val="00C54C4C"/>
    <w:rsid w:val="00CD580A"/>
    <w:rsid w:val="00D1008B"/>
    <w:rsid w:val="00D3085E"/>
    <w:rsid w:val="00D324D8"/>
    <w:rsid w:val="00D443F5"/>
    <w:rsid w:val="00D86547"/>
    <w:rsid w:val="00DA7706"/>
    <w:rsid w:val="00DB6323"/>
    <w:rsid w:val="00DC089C"/>
    <w:rsid w:val="00DD1A43"/>
    <w:rsid w:val="00DE366E"/>
    <w:rsid w:val="00E17FD4"/>
    <w:rsid w:val="00E40434"/>
    <w:rsid w:val="00E809DA"/>
    <w:rsid w:val="00EE1CE1"/>
    <w:rsid w:val="00F11B2F"/>
    <w:rsid w:val="00F32741"/>
    <w:rsid w:val="00F44376"/>
    <w:rsid w:val="00F635AC"/>
    <w:rsid w:val="00F82545"/>
    <w:rsid w:val="00FA3D51"/>
    <w:rsid w:val="00FA7584"/>
    <w:rsid w:val="00FB042A"/>
    <w:rsid w:val="00FB5DF4"/>
    <w:rsid w:val="00FC3946"/>
    <w:rsid w:val="00FE1E3B"/>
    <w:rsid w:val="00FF0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B576"/>
  <w15:chartTrackingRefBased/>
  <w15:docId w15:val="{D8BCF35A-6879-48ED-8732-DCB589DF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2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A0489"/>
    <w:pPr>
      <w:pBdr>
        <w:top w:val="single" w:sz="24" w:space="0" w:color="D9E2F3" w:themeColor="accent1" w:themeTint="33"/>
      </w:pBdr>
      <w:spacing w:before="100" w:after="0" w:line="276" w:lineRule="auto"/>
      <w:outlineLvl w:val="1"/>
    </w:pPr>
    <w:rPr>
      <w:caps/>
      <w:spacing w:val="15"/>
    </w:rPr>
  </w:style>
  <w:style w:type="paragraph" w:styleId="Heading3">
    <w:name w:val="heading 3"/>
    <w:basedOn w:val="Normal"/>
    <w:next w:val="Normal"/>
    <w:link w:val="Heading3Char"/>
    <w:uiPriority w:val="9"/>
    <w:unhideWhenUsed/>
    <w:qFormat/>
    <w:rsid w:val="000A0489"/>
    <w:pPr>
      <w:pBdr>
        <w:top w:val="single" w:sz="6" w:space="2" w:color="4472C4" w:themeColor="accent1"/>
      </w:pBdr>
      <w:spacing w:before="300" w:after="0" w:line="276" w:lineRule="auto"/>
      <w:outlineLvl w:val="2"/>
    </w:pPr>
    <w:rPr>
      <w:caps/>
      <w:color w:val="FF9900"/>
      <w:spacing w:val="15"/>
    </w:rPr>
  </w:style>
  <w:style w:type="paragraph" w:styleId="Heading4">
    <w:name w:val="heading 4"/>
    <w:basedOn w:val="Normal"/>
    <w:next w:val="Normal"/>
    <w:link w:val="Heading4Char"/>
    <w:uiPriority w:val="9"/>
    <w:semiHidden/>
    <w:unhideWhenUsed/>
    <w:qFormat/>
    <w:rsid w:val="007C72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7C72F8"/>
    <w:pPr>
      <w:numPr>
        <w:ilvl w:val="5"/>
        <w:numId w:val="3"/>
      </w:numPr>
      <w:spacing w:before="240" w:after="60" w:line="240" w:lineRule="auto"/>
      <w:jc w:val="both"/>
      <w:outlineLvl w:val="5"/>
    </w:pPr>
    <w:rPr>
      <w:rFonts w:ascii="Times New Roman" w:eastAsia="Times New Roman" w:hAnsi="Times New Roman" w:cs="Times New Roman"/>
      <w:i/>
      <w:kern w:val="0"/>
      <w:szCs w:val="20"/>
      <w14:ligatures w14:val="none"/>
    </w:rPr>
  </w:style>
  <w:style w:type="paragraph" w:styleId="Heading7">
    <w:name w:val="heading 7"/>
    <w:basedOn w:val="Normal"/>
    <w:next w:val="Normal"/>
    <w:link w:val="Heading7Char"/>
    <w:qFormat/>
    <w:rsid w:val="007C72F8"/>
    <w:pPr>
      <w:numPr>
        <w:ilvl w:val="6"/>
        <w:numId w:val="3"/>
      </w:numPr>
      <w:spacing w:before="240" w:after="60" w:line="240" w:lineRule="auto"/>
      <w:jc w:val="both"/>
      <w:outlineLvl w:val="6"/>
    </w:pPr>
    <w:rPr>
      <w:rFonts w:ascii="Arial" w:eastAsia="Times New Roman" w:hAnsi="Arial" w:cs="Times New Roman"/>
      <w:kern w:val="0"/>
      <w:sz w:val="20"/>
      <w:szCs w:val="20"/>
      <w14:ligatures w14:val="none"/>
    </w:rPr>
  </w:style>
  <w:style w:type="paragraph" w:styleId="Heading8">
    <w:name w:val="heading 8"/>
    <w:basedOn w:val="Normal"/>
    <w:next w:val="Normal"/>
    <w:link w:val="Heading8Char"/>
    <w:qFormat/>
    <w:rsid w:val="007C72F8"/>
    <w:pPr>
      <w:numPr>
        <w:ilvl w:val="7"/>
        <w:numId w:val="3"/>
      </w:numPr>
      <w:spacing w:before="240" w:after="60" w:line="240" w:lineRule="auto"/>
      <w:jc w:val="both"/>
      <w:outlineLvl w:val="7"/>
    </w:pPr>
    <w:rPr>
      <w:rFonts w:ascii="Arial" w:eastAsia="Times New Roman" w:hAnsi="Arial" w:cs="Times New Roman"/>
      <w:i/>
      <w:kern w:val="0"/>
      <w:sz w:val="20"/>
      <w:szCs w:val="20"/>
      <w14:ligatures w14:val="none"/>
    </w:rPr>
  </w:style>
  <w:style w:type="paragraph" w:styleId="Heading9">
    <w:name w:val="heading 9"/>
    <w:basedOn w:val="Normal"/>
    <w:next w:val="Normal"/>
    <w:link w:val="Heading9Char"/>
    <w:qFormat/>
    <w:rsid w:val="007C72F8"/>
    <w:pPr>
      <w:numPr>
        <w:ilvl w:val="8"/>
        <w:numId w:val="3"/>
      </w:numPr>
      <w:spacing w:before="240" w:after="60" w:line="240" w:lineRule="auto"/>
      <w:jc w:val="both"/>
      <w:outlineLvl w:val="8"/>
    </w:pPr>
    <w:rPr>
      <w:rFonts w:ascii="Arial" w:eastAsia="Times New Roman" w:hAnsi="Arial" w:cs="Times New Roman"/>
      <w:b/>
      <w:i/>
      <w:kern w:val="0"/>
      <w:sz w:val="1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489"/>
    <w:rPr>
      <w:caps/>
      <w:color w:val="FF9900"/>
      <w:spacing w:val="15"/>
    </w:rPr>
  </w:style>
  <w:style w:type="character" w:customStyle="1" w:styleId="Heading2Char">
    <w:name w:val="Heading 2 Char"/>
    <w:basedOn w:val="DefaultParagraphFont"/>
    <w:link w:val="Heading2"/>
    <w:uiPriority w:val="9"/>
    <w:rsid w:val="000A0489"/>
    <w:rPr>
      <w:caps/>
      <w:spacing w:val="15"/>
    </w:rPr>
  </w:style>
  <w:style w:type="paragraph" w:styleId="ListParagraph">
    <w:name w:val="List Paragraph"/>
    <w:basedOn w:val="Normal"/>
    <w:uiPriority w:val="34"/>
    <w:qFormat/>
    <w:rsid w:val="004A19D9"/>
    <w:pPr>
      <w:ind w:left="720"/>
      <w:contextualSpacing/>
    </w:pPr>
  </w:style>
  <w:style w:type="character" w:styleId="CommentReference">
    <w:name w:val="annotation reference"/>
    <w:basedOn w:val="DefaultParagraphFont"/>
    <w:uiPriority w:val="99"/>
    <w:semiHidden/>
    <w:unhideWhenUsed/>
    <w:rsid w:val="00B267AD"/>
    <w:rPr>
      <w:sz w:val="16"/>
      <w:szCs w:val="16"/>
    </w:rPr>
  </w:style>
  <w:style w:type="paragraph" w:styleId="CommentText">
    <w:name w:val="annotation text"/>
    <w:basedOn w:val="Normal"/>
    <w:link w:val="CommentTextChar"/>
    <w:uiPriority w:val="99"/>
    <w:unhideWhenUsed/>
    <w:rsid w:val="00B267AD"/>
    <w:pPr>
      <w:spacing w:line="240" w:lineRule="auto"/>
    </w:pPr>
    <w:rPr>
      <w:sz w:val="20"/>
      <w:szCs w:val="20"/>
    </w:rPr>
  </w:style>
  <w:style w:type="character" w:customStyle="1" w:styleId="CommentTextChar">
    <w:name w:val="Comment Text Char"/>
    <w:basedOn w:val="DefaultParagraphFont"/>
    <w:link w:val="CommentText"/>
    <w:uiPriority w:val="99"/>
    <w:rsid w:val="00B267AD"/>
    <w:rPr>
      <w:sz w:val="20"/>
      <w:szCs w:val="20"/>
    </w:rPr>
  </w:style>
  <w:style w:type="paragraph" w:styleId="CommentSubject">
    <w:name w:val="annotation subject"/>
    <w:basedOn w:val="CommentText"/>
    <w:next w:val="CommentText"/>
    <w:link w:val="CommentSubjectChar"/>
    <w:uiPriority w:val="99"/>
    <w:semiHidden/>
    <w:unhideWhenUsed/>
    <w:rsid w:val="00B267AD"/>
    <w:rPr>
      <w:b/>
      <w:bCs/>
    </w:rPr>
  </w:style>
  <w:style w:type="character" w:customStyle="1" w:styleId="CommentSubjectChar">
    <w:name w:val="Comment Subject Char"/>
    <w:basedOn w:val="CommentTextChar"/>
    <w:link w:val="CommentSubject"/>
    <w:uiPriority w:val="99"/>
    <w:semiHidden/>
    <w:rsid w:val="00B267AD"/>
    <w:rPr>
      <w:b/>
      <w:bCs/>
      <w:sz w:val="20"/>
      <w:szCs w:val="20"/>
    </w:rPr>
  </w:style>
  <w:style w:type="paragraph" w:styleId="Revision">
    <w:name w:val="Revision"/>
    <w:hidden/>
    <w:uiPriority w:val="99"/>
    <w:semiHidden/>
    <w:rsid w:val="00B267AD"/>
    <w:pPr>
      <w:spacing w:after="0" w:line="240" w:lineRule="auto"/>
    </w:pPr>
  </w:style>
  <w:style w:type="character" w:customStyle="1" w:styleId="Heading6Char">
    <w:name w:val="Heading 6 Char"/>
    <w:basedOn w:val="DefaultParagraphFont"/>
    <w:link w:val="Heading6"/>
    <w:rsid w:val="007C72F8"/>
    <w:rPr>
      <w:rFonts w:ascii="Times New Roman" w:eastAsia="Times New Roman" w:hAnsi="Times New Roman" w:cs="Times New Roman"/>
      <w:i/>
      <w:kern w:val="0"/>
      <w:szCs w:val="20"/>
      <w14:ligatures w14:val="none"/>
    </w:rPr>
  </w:style>
  <w:style w:type="character" w:customStyle="1" w:styleId="Heading7Char">
    <w:name w:val="Heading 7 Char"/>
    <w:basedOn w:val="DefaultParagraphFont"/>
    <w:link w:val="Heading7"/>
    <w:rsid w:val="007C72F8"/>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rsid w:val="007C72F8"/>
    <w:rPr>
      <w:rFonts w:ascii="Arial" w:eastAsia="Times New Roman" w:hAnsi="Arial" w:cs="Times New Roman"/>
      <w:i/>
      <w:kern w:val="0"/>
      <w:sz w:val="20"/>
      <w:szCs w:val="20"/>
      <w14:ligatures w14:val="none"/>
    </w:rPr>
  </w:style>
  <w:style w:type="character" w:customStyle="1" w:styleId="Heading9Char">
    <w:name w:val="Heading 9 Char"/>
    <w:basedOn w:val="DefaultParagraphFont"/>
    <w:link w:val="Heading9"/>
    <w:rsid w:val="007C72F8"/>
    <w:rPr>
      <w:rFonts w:ascii="Arial" w:eastAsia="Times New Roman" w:hAnsi="Arial" w:cs="Times New Roman"/>
      <w:b/>
      <w:i/>
      <w:kern w:val="0"/>
      <w:sz w:val="18"/>
      <w:szCs w:val="20"/>
      <w14:ligatures w14:val="none"/>
    </w:rPr>
  </w:style>
  <w:style w:type="paragraph" w:customStyle="1" w:styleId="StyleHeading1BoldAllcapsAfter12ptLinespacingsin">
    <w:name w:val="Style Heading 1 + Bold All caps After:  12 pt Line spacing:  sin..."/>
    <w:basedOn w:val="Heading1"/>
    <w:link w:val="StyleHeading1BoldAllcapsAfter12ptLinespacingsinCharChar"/>
    <w:rsid w:val="007C72F8"/>
    <w:pPr>
      <w:keepNext w:val="0"/>
      <w:keepLines w:val="0"/>
      <w:numPr>
        <w:numId w:val="3"/>
      </w:numPr>
      <w:spacing w:after="240" w:line="240" w:lineRule="auto"/>
      <w:jc w:val="both"/>
    </w:pPr>
    <w:rPr>
      <w:rFonts w:ascii="Arial" w:eastAsia="Times New Roman" w:hAnsi="Arial" w:cs="Times New Roman"/>
      <w:b/>
      <w:bCs/>
      <w:caps/>
      <w:color w:val="auto"/>
      <w:kern w:val="0"/>
      <w:sz w:val="28"/>
      <w:szCs w:val="20"/>
      <w14:ligatures w14:val="none"/>
    </w:rPr>
  </w:style>
  <w:style w:type="paragraph" w:customStyle="1" w:styleId="StyleHeading2BoldAfter12ptLinespacingsingle">
    <w:name w:val="Style Heading 2 + Bold After:  12 pt Line spacing:  single"/>
    <w:basedOn w:val="Heading2"/>
    <w:link w:val="StyleHeading2BoldAfter12ptLinespacingsingleCharChar"/>
    <w:rsid w:val="007C72F8"/>
    <w:pPr>
      <w:numPr>
        <w:ilvl w:val="1"/>
        <w:numId w:val="3"/>
      </w:numPr>
      <w:pBdr>
        <w:top w:val="none" w:sz="0" w:space="0" w:color="auto"/>
      </w:pBdr>
      <w:spacing w:before="0" w:after="240" w:line="240" w:lineRule="auto"/>
      <w:jc w:val="both"/>
    </w:pPr>
    <w:rPr>
      <w:rFonts w:ascii="Arial" w:eastAsia="Times New Roman" w:hAnsi="Arial" w:cs="Times New Roman"/>
      <w:bCs/>
      <w:caps w:val="0"/>
      <w:spacing w:val="0"/>
      <w:kern w:val="0"/>
      <w:sz w:val="28"/>
      <w:szCs w:val="20"/>
      <w:lang w:val="x-none"/>
      <w14:ligatures w14:val="none"/>
    </w:rPr>
  </w:style>
  <w:style w:type="paragraph" w:customStyle="1" w:styleId="StyleHeading4Left15cmFirstline0cmAfter12pt">
    <w:name w:val="Style Heading 4 + Left:  1.5 cm First line:  0 cm After:  12 pt ..."/>
    <w:basedOn w:val="Heading4"/>
    <w:rsid w:val="007C72F8"/>
    <w:pPr>
      <w:keepNext w:val="0"/>
      <w:keepLines w:val="0"/>
      <w:numPr>
        <w:ilvl w:val="3"/>
        <w:numId w:val="3"/>
      </w:numPr>
      <w:tabs>
        <w:tab w:val="clear" w:pos="1560"/>
      </w:tabs>
      <w:spacing w:before="0" w:after="240" w:line="240" w:lineRule="auto"/>
      <w:ind w:left="2880" w:hanging="360"/>
      <w:jc w:val="both"/>
    </w:pPr>
    <w:rPr>
      <w:rFonts w:ascii="Arial" w:eastAsia="Times New Roman" w:hAnsi="Arial" w:cs="Times New Roman"/>
      <w:i w:val="0"/>
      <w:iCs w:val="0"/>
      <w:color w:val="auto"/>
      <w:kern w:val="0"/>
      <w:sz w:val="28"/>
      <w:szCs w:val="20"/>
      <w14:ligatures w14:val="none"/>
    </w:rPr>
  </w:style>
  <w:style w:type="character" w:customStyle="1" w:styleId="StyleHeading1BoldAllcapsAfter12ptLinespacingsinCharChar">
    <w:name w:val="Style Heading 1 + Bold All caps After:  12 pt Line spacing:  sin... Char Char"/>
    <w:link w:val="StyleHeading1BoldAllcapsAfter12ptLinespacingsin"/>
    <w:rsid w:val="007C72F8"/>
    <w:rPr>
      <w:rFonts w:ascii="Arial" w:eastAsia="Times New Roman" w:hAnsi="Arial" w:cs="Times New Roman"/>
      <w:b/>
      <w:bCs/>
      <w:caps/>
      <w:kern w:val="0"/>
      <w:sz w:val="28"/>
      <w:szCs w:val="20"/>
      <w14:ligatures w14:val="none"/>
    </w:rPr>
  </w:style>
  <w:style w:type="character" w:customStyle="1" w:styleId="StyleHeading2BoldAfter12ptLinespacingsingleCharChar">
    <w:name w:val="Style Heading 2 + Bold After:  12 pt Line spacing:  single Char Char"/>
    <w:link w:val="StyleHeading2BoldAfter12ptLinespacingsingle"/>
    <w:rsid w:val="007C72F8"/>
    <w:rPr>
      <w:rFonts w:ascii="Arial" w:eastAsia="Times New Roman" w:hAnsi="Arial" w:cs="Times New Roman"/>
      <w:bCs/>
      <w:kern w:val="0"/>
      <w:sz w:val="28"/>
      <w:szCs w:val="20"/>
      <w:lang w:val="x-none"/>
      <w14:ligatures w14:val="none"/>
    </w:rPr>
  </w:style>
  <w:style w:type="character" w:customStyle="1" w:styleId="Heading1Char">
    <w:name w:val="Heading 1 Char"/>
    <w:basedOn w:val="DefaultParagraphFont"/>
    <w:link w:val="Heading1"/>
    <w:uiPriority w:val="9"/>
    <w:rsid w:val="007C72F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C72F8"/>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1E470D"/>
    <w:rPr>
      <w:color w:val="666666"/>
    </w:rPr>
  </w:style>
  <w:style w:type="paragraph" w:styleId="Header">
    <w:name w:val="header"/>
    <w:basedOn w:val="Normal"/>
    <w:link w:val="HeaderChar"/>
    <w:uiPriority w:val="99"/>
    <w:unhideWhenUsed/>
    <w:rsid w:val="00162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815"/>
  </w:style>
  <w:style w:type="paragraph" w:styleId="Footer">
    <w:name w:val="footer"/>
    <w:basedOn w:val="Normal"/>
    <w:link w:val="FooterChar"/>
    <w:uiPriority w:val="99"/>
    <w:unhideWhenUsed/>
    <w:rsid w:val="0016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1C80BBF23481AB40B250EA302410C"/>
        <w:category>
          <w:name w:val="General"/>
          <w:gallery w:val="placeholder"/>
        </w:category>
        <w:types>
          <w:type w:val="bbPlcHdr"/>
        </w:types>
        <w:behaviors>
          <w:behavior w:val="content"/>
        </w:behaviors>
        <w:guid w:val="{975C9F8A-0A7D-495B-A80A-9A20EA26A6EF}"/>
      </w:docPartPr>
      <w:docPartBody>
        <w:p w:rsidR="00000000" w:rsidRDefault="004B0D23" w:rsidP="004B0D23">
          <w:pPr>
            <w:pStyle w:val="7A61C80BBF23481AB40B250EA302410C"/>
          </w:pPr>
          <w:r w:rsidRPr="00FF53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23"/>
    <w:rsid w:val="004B0D23"/>
    <w:rsid w:val="008C2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D23"/>
    <w:rPr>
      <w:color w:val="666666"/>
    </w:rPr>
  </w:style>
  <w:style w:type="paragraph" w:customStyle="1" w:styleId="7A61C80BBF23481AB40B250EA302410C">
    <w:name w:val="7A61C80BBF23481AB40B250EA302410C"/>
    <w:rsid w:val="004B0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5115-53B6-4B90-8123-32C49C04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Mitchell</dc:creator>
  <cp:keywords/>
  <dc:description/>
  <cp:lastModifiedBy>Xavier Leenders</cp:lastModifiedBy>
  <cp:revision>7</cp:revision>
  <cp:lastPrinted>2023-09-27T01:53:00Z</cp:lastPrinted>
  <dcterms:created xsi:type="dcterms:W3CDTF">2023-09-28T00:12:00Z</dcterms:created>
  <dcterms:modified xsi:type="dcterms:W3CDTF">2024-01-30T00:54:00Z</dcterms:modified>
</cp:coreProperties>
</file>